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8"/>
        <w:gridCol w:w="6592"/>
      </w:tblGrid>
      <w:tr w:rsidR="002D77FC" w:rsidTr="00363513">
        <w:tc>
          <w:tcPr>
            <w:tcW w:w="9040" w:type="dxa"/>
            <w:gridSpan w:val="2"/>
            <w:tcBorders>
              <w:top w:val="single" w:sz="12" w:space="0" w:color="auto"/>
              <w:left w:val="single" w:sz="12" w:space="0" w:color="auto"/>
              <w:bottom w:val="single" w:sz="6" w:space="0" w:color="auto"/>
              <w:right w:val="single" w:sz="12" w:space="0" w:color="auto"/>
            </w:tcBorders>
          </w:tcPr>
          <w:p w:rsidR="002D77FC" w:rsidRDefault="002D77FC" w:rsidP="00F44880">
            <w:pPr>
              <w:jc w:val="both"/>
              <w:rPr>
                <w:sz w:val="16"/>
                <w:lang w:val="en-IE"/>
              </w:rPr>
            </w:pPr>
          </w:p>
          <w:p w:rsidR="002D77FC" w:rsidRDefault="002C79A0" w:rsidP="00F44880">
            <w:pPr>
              <w:jc w:val="center"/>
              <w:rPr>
                <w:lang w:val="en-IE"/>
              </w:rPr>
            </w:pPr>
            <w:r w:rsidRPr="001E706B">
              <w:rPr>
                <w:noProof/>
                <w:lang w:val="en-IE" w:eastAsia="en-IE"/>
              </w:rPr>
              <w:drawing>
                <wp:inline distT="0" distB="0" distL="0" distR="0">
                  <wp:extent cx="5248275" cy="628650"/>
                  <wp:effectExtent l="0" t="0" r="9525" b="0"/>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628650"/>
                          </a:xfrm>
                          <a:prstGeom prst="rect">
                            <a:avLst/>
                          </a:prstGeom>
                          <a:noFill/>
                          <a:ln>
                            <a:noFill/>
                          </a:ln>
                        </pic:spPr>
                      </pic:pic>
                    </a:graphicData>
                  </a:graphic>
                </wp:inline>
              </w:drawing>
            </w:r>
          </w:p>
          <w:p w:rsidR="002D77FC" w:rsidRPr="00E4404D" w:rsidRDefault="002D77FC" w:rsidP="00F44880">
            <w:pPr>
              <w:jc w:val="both"/>
              <w:rPr>
                <w:sz w:val="24"/>
                <w:lang w:val="en-IE"/>
              </w:rPr>
            </w:pPr>
          </w:p>
          <w:p w:rsidR="002D77FC" w:rsidRPr="00E4404D" w:rsidRDefault="00775936" w:rsidP="00F44880">
            <w:pPr>
              <w:pStyle w:val="Heading1"/>
              <w:rPr>
                <w:sz w:val="24"/>
              </w:rPr>
            </w:pPr>
            <w:r>
              <w:rPr>
                <w:sz w:val="24"/>
              </w:rPr>
              <w:t>REQUEST FOR TENDER</w:t>
            </w:r>
          </w:p>
          <w:p w:rsidR="002D77FC" w:rsidRDefault="002D77FC" w:rsidP="00F44880">
            <w:pPr>
              <w:jc w:val="center"/>
              <w:rPr>
                <w:lang w:val="en-IE"/>
              </w:rPr>
            </w:pPr>
          </w:p>
          <w:p w:rsidR="002D77FC" w:rsidRDefault="00775936" w:rsidP="00775936">
            <w:pPr>
              <w:jc w:val="center"/>
              <w:rPr>
                <w:sz w:val="16"/>
                <w:lang w:val="en-IE"/>
              </w:rPr>
            </w:pPr>
            <w:r>
              <w:rPr>
                <w:b/>
                <w:sz w:val="28"/>
              </w:rPr>
              <w:t>Counselling &amp; Psychotherapy Service</w:t>
            </w: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Function:</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right="142"/>
              <w:jc w:val="both"/>
              <w:rPr>
                <w:lang w:val="en-IE"/>
              </w:rPr>
            </w:pPr>
          </w:p>
          <w:p w:rsidR="00383773" w:rsidRDefault="00E4404D" w:rsidP="009457A6">
            <w:pPr>
              <w:spacing w:line="360" w:lineRule="auto"/>
              <w:jc w:val="both"/>
            </w:pPr>
            <w:r>
              <w:t xml:space="preserve">Provide counselling and other supports to young people in Limerick </w:t>
            </w:r>
            <w:r w:rsidRPr="00687190">
              <w:t xml:space="preserve">City and County </w:t>
            </w:r>
            <w:r w:rsidR="00775936">
              <w:t xml:space="preserve">aged 14-25 </w:t>
            </w:r>
            <w:r w:rsidRPr="00687190">
              <w:t xml:space="preserve">who present with mild to moderate behavioural and/or </w:t>
            </w:r>
            <w:r>
              <w:t>emotional issues</w:t>
            </w:r>
            <w:r w:rsidR="00775936" w:rsidRPr="001B44A5">
              <w:t>.</w:t>
            </w:r>
            <w:r w:rsidRPr="001B44A5">
              <w:t xml:space="preserve">  </w:t>
            </w:r>
            <w:r w:rsidR="009172E6" w:rsidRPr="001B44A5">
              <w:t>(mental health issues)</w:t>
            </w:r>
          </w:p>
        </w:tc>
      </w:tr>
      <w:tr w:rsidR="00C114D7" w:rsidTr="00363513">
        <w:tc>
          <w:tcPr>
            <w:tcW w:w="2448" w:type="dxa"/>
            <w:tcBorders>
              <w:top w:val="single" w:sz="6" w:space="0" w:color="auto"/>
              <w:left w:val="single" w:sz="12" w:space="0" w:color="auto"/>
              <w:bottom w:val="single" w:sz="6" w:space="0" w:color="auto"/>
              <w:right w:val="single" w:sz="6" w:space="0" w:color="auto"/>
            </w:tcBorders>
          </w:tcPr>
          <w:p w:rsidR="00C114D7" w:rsidRDefault="00C114D7" w:rsidP="00F44880">
            <w:pPr>
              <w:jc w:val="both"/>
              <w:rPr>
                <w:lang w:val="en-IE"/>
              </w:rPr>
            </w:pPr>
          </w:p>
          <w:p w:rsidR="00C114D7" w:rsidRDefault="009172E6" w:rsidP="00F44880">
            <w:pPr>
              <w:jc w:val="both"/>
              <w:rPr>
                <w:lang w:val="en-IE"/>
              </w:rPr>
            </w:pPr>
            <w:r>
              <w:rPr>
                <w:b/>
                <w:bCs/>
                <w:lang w:val="en-IE"/>
              </w:rPr>
              <w:t xml:space="preserve">Service </w:t>
            </w:r>
            <w:r w:rsidR="00C114D7">
              <w:rPr>
                <w:b/>
                <w:bCs/>
                <w:lang w:val="en-IE"/>
              </w:rPr>
              <w:t>Area:</w:t>
            </w:r>
          </w:p>
          <w:p w:rsidR="00C114D7" w:rsidRDefault="00C114D7"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C114D7" w:rsidRDefault="00C114D7" w:rsidP="00F44880">
            <w:pPr>
              <w:ind w:right="142"/>
              <w:jc w:val="both"/>
              <w:rPr>
                <w:lang w:val="en-IE"/>
              </w:rPr>
            </w:pPr>
          </w:p>
          <w:p w:rsidR="00471D6A" w:rsidRPr="00E4404D" w:rsidRDefault="009172E6" w:rsidP="00775936">
            <w:pPr>
              <w:spacing w:line="360" w:lineRule="auto"/>
              <w:ind w:right="142"/>
              <w:jc w:val="both"/>
            </w:pPr>
            <w:r>
              <w:t>The service is to be provided in Limerick City &amp; County</w:t>
            </w: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Reporting To:</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142" w:right="142"/>
              <w:jc w:val="both"/>
              <w:rPr>
                <w:lang w:val="en-IE"/>
              </w:rPr>
            </w:pPr>
          </w:p>
          <w:p w:rsidR="002D77FC" w:rsidRDefault="006116EE" w:rsidP="00F44880">
            <w:pPr>
              <w:ind w:right="142"/>
              <w:jc w:val="both"/>
              <w:rPr>
                <w:lang w:val="en-IE"/>
              </w:rPr>
            </w:pPr>
            <w:r>
              <w:rPr>
                <w:lang w:val="en-IE"/>
              </w:rPr>
              <w:t>Limerick Youth Service Manager</w:t>
            </w:r>
            <w:r w:rsidR="008C55F7">
              <w:rPr>
                <w:lang w:val="en-IE"/>
              </w:rPr>
              <w:t>.</w:t>
            </w:r>
          </w:p>
          <w:p w:rsidR="006116EE" w:rsidRDefault="006116EE" w:rsidP="00F44880">
            <w:pPr>
              <w:ind w:right="142"/>
              <w:jc w:val="both"/>
              <w:rPr>
                <w:lang w:val="en-IE"/>
              </w:rPr>
            </w:pP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Liaising With:</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142" w:right="142"/>
              <w:jc w:val="both"/>
              <w:rPr>
                <w:lang w:val="en-IE"/>
              </w:rPr>
            </w:pPr>
          </w:p>
          <w:p w:rsidR="002D77FC" w:rsidRDefault="00E4404D" w:rsidP="00E4404D">
            <w:pPr>
              <w:spacing w:line="360" w:lineRule="auto"/>
              <w:ind w:right="142"/>
              <w:jc w:val="both"/>
              <w:rPr>
                <w:lang w:val="en-IE"/>
              </w:rPr>
            </w:pPr>
            <w:r>
              <w:t xml:space="preserve">Referral agencies, Limerick Youth Service staff, volunteers, young people and parents </w:t>
            </w: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Primary Duties</w:t>
            </w:r>
          </w:p>
          <w:p w:rsidR="002D77FC" w:rsidRDefault="002D77FC" w:rsidP="00F44880">
            <w:pPr>
              <w:jc w:val="both"/>
              <w:rPr>
                <w:b/>
                <w:bCs/>
                <w:lang w:val="en-IE"/>
              </w:rPr>
            </w:pPr>
            <w:r>
              <w:rPr>
                <w:b/>
                <w:bCs/>
                <w:lang w:val="en-IE"/>
              </w:rPr>
              <w:t>&amp; Responsibilities:</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862" w:right="142"/>
              <w:jc w:val="both"/>
              <w:rPr>
                <w:lang w:val="en-IE"/>
              </w:rPr>
            </w:pPr>
          </w:p>
          <w:p w:rsidR="002D77FC" w:rsidRDefault="002D77FC" w:rsidP="00F44880">
            <w:pPr>
              <w:ind w:right="142"/>
              <w:jc w:val="both"/>
              <w:rPr>
                <w:sz w:val="6"/>
                <w:lang w:val="en-IE"/>
              </w:rPr>
            </w:pPr>
          </w:p>
          <w:p w:rsidR="00E4404D" w:rsidRDefault="00E4404D" w:rsidP="00E4404D">
            <w:pPr>
              <w:spacing w:after="76"/>
              <w:ind w:left="2"/>
            </w:pPr>
            <w:r>
              <w:rPr>
                <w:b/>
                <w:sz w:val="24"/>
              </w:rPr>
              <w:t xml:space="preserve">Young People: </w:t>
            </w:r>
          </w:p>
          <w:p w:rsidR="00E4404D" w:rsidRDefault="00E4404D" w:rsidP="00E4404D">
            <w:pPr>
              <w:numPr>
                <w:ilvl w:val="0"/>
                <w:numId w:val="8"/>
              </w:numPr>
              <w:spacing w:line="360" w:lineRule="auto"/>
              <w:ind w:hanging="357"/>
            </w:pPr>
            <w:r>
              <w:t xml:space="preserve">Provide a </w:t>
            </w:r>
            <w:r w:rsidR="009172E6">
              <w:t xml:space="preserve">minimum </w:t>
            </w:r>
            <w:r w:rsidR="002177EB">
              <w:t xml:space="preserve">of 8 </w:t>
            </w:r>
            <w:bookmarkStart w:id="0" w:name="_GoBack"/>
            <w:bookmarkEnd w:id="0"/>
            <w:r w:rsidR="009172E6" w:rsidRPr="001B44A5">
              <w:t>counselling sessions</w:t>
            </w:r>
            <w:r w:rsidRPr="001B44A5">
              <w:t xml:space="preserve"> </w:t>
            </w:r>
            <w:r>
              <w:t>to young people</w:t>
            </w:r>
            <w:r w:rsidR="009172E6">
              <w:t xml:space="preserve"> aged 14-25</w:t>
            </w:r>
            <w:r>
              <w:t xml:space="preserve">  </w:t>
            </w:r>
          </w:p>
          <w:p w:rsidR="00E4404D" w:rsidRDefault="009172E6" w:rsidP="00E4404D">
            <w:pPr>
              <w:numPr>
                <w:ilvl w:val="0"/>
                <w:numId w:val="8"/>
              </w:numPr>
              <w:spacing w:line="360" w:lineRule="auto"/>
            </w:pPr>
            <w:r>
              <w:t>Provide the service with the framework of Limerick Youth Service</w:t>
            </w:r>
            <w:r w:rsidR="00E4404D">
              <w:t xml:space="preserve"> </w:t>
            </w:r>
            <w:r>
              <w:t xml:space="preserve">Child </w:t>
            </w:r>
            <w:r w:rsidR="00E4404D">
              <w:t xml:space="preserve">Safeguarding policy </w:t>
            </w:r>
          </w:p>
          <w:p w:rsidR="00E4404D" w:rsidRDefault="00E4404D" w:rsidP="00E4404D">
            <w:pPr>
              <w:numPr>
                <w:ilvl w:val="0"/>
                <w:numId w:val="8"/>
              </w:numPr>
              <w:spacing w:line="360" w:lineRule="auto"/>
            </w:pPr>
            <w:r>
              <w:t xml:space="preserve">Provide young people presenting with psychological distress with the supports needed to </w:t>
            </w:r>
            <w:proofErr w:type="spellStart"/>
            <w:r>
              <w:t>fulfill</w:t>
            </w:r>
            <w:proofErr w:type="spellEnd"/>
            <w:r>
              <w:t xml:space="preserve"> their potential and cope with the challenges they face</w:t>
            </w:r>
            <w:r w:rsidR="009172E6">
              <w:t>.</w:t>
            </w:r>
          </w:p>
          <w:p w:rsidR="00E4404D" w:rsidRDefault="00E4404D" w:rsidP="00E4404D">
            <w:pPr>
              <w:numPr>
                <w:ilvl w:val="0"/>
                <w:numId w:val="8"/>
              </w:numPr>
              <w:spacing w:line="360" w:lineRule="auto"/>
            </w:pPr>
            <w:r>
              <w:t>Identify those individuals who are at risk of immediate harm &amp;</w:t>
            </w:r>
            <w:r w:rsidR="009172E6">
              <w:t xml:space="preserve"> who require other sources of help. A</w:t>
            </w:r>
            <w:r>
              <w:t xml:space="preserve">ssist in engaging them in appropriate statutory services </w:t>
            </w:r>
          </w:p>
          <w:p w:rsidR="00E4404D" w:rsidRDefault="00E4404D" w:rsidP="00E4404D">
            <w:pPr>
              <w:numPr>
                <w:ilvl w:val="0"/>
                <w:numId w:val="8"/>
              </w:numPr>
              <w:spacing w:line="360" w:lineRule="auto"/>
            </w:pPr>
            <w:r>
              <w:t xml:space="preserve">Support the </w:t>
            </w:r>
            <w:r w:rsidR="00363513">
              <w:t>Young People</w:t>
            </w:r>
            <w:r>
              <w:t xml:space="preserve"> to make positive choices in their life </w:t>
            </w:r>
          </w:p>
          <w:p w:rsidR="00E4404D" w:rsidRDefault="00363513" w:rsidP="00E4404D">
            <w:pPr>
              <w:numPr>
                <w:ilvl w:val="0"/>
                <w:numId w:val="8"/>
              </w:numPr>
              <w:spacing w:line="360" w:lineRule="auto"/>
            </w:pPr>
            <w:r>
              <w:t>Provide a safe space for Young People</w:t>
            </w:r>
            <w:r w:rsidR="00E4404D">
              <w:t xml:space="preserve"> to talk through their issues</w:t>
            </w:r>
            <w:r>
              <w:t>.</w:t>
            </w:r>
            <w:r w:rsidR="00E4404D">
              <w:t xml:space="preserve"> </w:t>
            </w:r>
          </w:p>
          <w:p w:rsidR="00E4404D" w:rsidRDefault="009172E6" w:rsidP="00E4404D">
            <w:pPr>
              <w:numPr>
                <w:ilvl w:val="0"/>
                <w:numId w:val="8"/>
              </w:numPr>
              <w:spacing w:line="360" w:lineRule="auto"/>
            </w:pPr>
            <w:r>
              <w:t>In line with recognised practice p</w:t>
            </w:r>
            <w:r w:rsidR="00E4404D">
              <w:t xml:space="preserve">rovide counselling and psychotherapy to young people engaged with Limerick Youth Service </w:t>
            </w:r>
          </w:p>
          <w:p w:rsidR="00E4404D" w:rsidRDefault="00E4404D" w:rsidP="00E4404D">
            <w:pPr>
              <w:spacing w:after="69"/>
              <w:ind w:left="2"/>
            </w:pPr>
            <w:r>
              <w:rPr>
                <w:b/>
                <w:sz w:val="24"/>
              </w:rPr>
              <w:t xml:space="preserve">Communication  </w:t>
            </w:r>
          </w:p>
          <w:p w:rsidR="00E4404D" w:rsidRDefault="00E4404D" w:rsidP="00E4404D">
            <w:pPr>
              <w:numPr>
                <w:ilvl w:val="0"/>
                <w:numId w:val="8"/>
              </w:numPr>
              <w:spacing w:line="354" w:lineRule="auto"/>
            </w:pPr>
            <w:r>
              <w:lastRenderedPageBreak/>
              <w:t xml:space="preserve">Develop appropriate professional relationships with young people and parent/guardian </w:t>
            </w:r>
          </w:p>
          <w:p w:rsidR="00E4404D" w:rsidRDefault="00E4404D" w:rsidP="00E4404D">
            <w:pPr>
              <w:numPr>
                <w:ilvl w:val="0"/>
                <w:numId w:val="8"/>
              </w:numPr>
              <w:spacing w:after="35"/>
            </w:pPr>
            <w:r>
              <w:t xml:space="preserve">Establish a relationship of trust and respect with individuals </w:t>
            </w:r>
          </w:p>
          <w:p w:rsidR="00E4404D" w:rsidRDefault="00E4404D" w:rsidP="00E4404D">
            <w:pPr>
              <w:numPr>
                <w:ilvl w:val="0"/>
                <w:numId w:val="8"/>
              </w:numPr>
              <w:spacing w:after="101"/>
            </w:pPr>
            <w:r>
              <w:t xml:space="preserve">Effectively participate in focused group work with young people </w:t>
            </w:r>
          </w:p>
          <w:p w:rsidR="00E4404D" w:rsidRDefault="00E4404D" w:rsidP="00E4404D">
            <w:pPr>
              <w:numPr>
                <w:ilvl w:val="0"/>
                <w:numId w:val="8"/>
              </w:numPr>
              <w:spacing w:line="348" w:lineRule="auto"/>
            </w:pPr>
            <w:r>
              <w:t xml:space="preserve">Liaise and maintain appropriate contact with staff and external agencies as required to deliver effective responses in accordance with need.  </w:t>
            </w:r>
          </w:p>
          <w:p w:rsidR="00E4404D" w:rsidRDefault="00363513" w:rsidP="00E4404D">
            <w:pPr>
              <w:numPr>
                <w:ilvl w:val="0"/>
                <w:numId w:val="8"/>
              </w:numPr>
              <w:spacing w:line="338" w:lineRule="auto"/>
            </w:pPr>
            <w:r>
              <w:t>A</w:t>
            </w:r>
            <w:r w:rsidR="00E4404D">
              <w:t xml:space="preserve">ttend and participate in meetings internal and external as may be required for the purpose of sharing and gathering information. </w:t>
            </w:r>
          </w:p>
          <w:p w:rsidR="00E4404D" w:rsidRDefault="00E4404D" w:rsidP="00E4404D">
            <w:pPr>
              <w:numPr>
                <w:ilvl w:val="0"/>
                <w:numId w:val="8"/>
              </w:numPr>
              <w:spacing w:after="13" w:line="348" w:lineRule="auto"/>
            </w:pPr>
            <w:r>
              <w:t xml:space="preserve">Work in close collaboration with other Limerick Youth Service Counsellors and ensure the provision of a wraparound service for young people </w:t>
            </w:r>
          </w:p>
          <w:p w:rsidR="00E4404D" w:rsidRDefault="00E4404D" w:rsidP="00E4404D">
            <w:pPr>
              <w:spacing w:after="96"/>
              <w:ind w:left="2"/>
            </w:pPr>
            <w:r>
              <w:rPr>
                <w:b/>
                <w:sz w:val="24"/>
              </w:rPr>
              <w:t xml:space="preserve">Record Keeping </w:t>
            </w:r>
          </w:p>
          <w:p w:rsidR="00E4404D" w:rsidRDefault="00E4404D" w:rsidP="00E4404D">
            <w:pPr>
              <w:numPr>
                <w:ilvl w:val="0"/>
                <w:numId w:val="8"/>
              </w:numPr>
              <w:spacing w:line="360" w:lineRule="auto"/>
              <w:ind w:left="714" w:hanging="357"/>
              <w:jc w:val="both"/>
            </w:pPr>
            <w:r>
              <w:t>Maintain safe, accurate and up to date records and report</w:t>
            </w:r>
            <w:r w:rsidR="00363513">
              <w:t>s</w:t>
            </w:r>
            <w:r>
              <w:t xml:space="preserve"> as required. </w:t>
            </w:r>
          </w:p>
          <w:p w:rsidR="00E4404D" w:rsidRDefault="00E4404D" w:rsidP="00E4404D">
            <w:pPr>
              <w:numPr>
                <w:ilvl w:val="0"/>
                <w:numId w:val="8"/>
              </w:numPr>
              <w:spacing w:line="360" w:lineRule="auto"/>
              <w:ind w:left="714" w:hanging="357"/>
              <w:jc w:val="both"/>
            </w:pPr>
            <w:r>
              <w:t xml:space="preserve">Adhere to all policies and procedures of </w:t>
            </w:r>
            <w:r w:rsidR="009172E6">
              <w:t>Limerick Youth Service with regard to data collection and retention.</w:t>
            </w:r>
            <w:r>
              <w:t xml:space="preserve"> </w:t>
            </w:r>
          </w:p>
          <w:p w:rsidR="00E4404D" w:rsidRDefault="00E4404D" w:rsidP="00E4404D">
            <w:pPr>
              <w:numPr>
                <w:ilvl w:val="0"/>
                <w:numId w:val="8"/>
              </w:numPr>
              <w:spacing w:line="360" w:lineRule="auto"/>
              <w:ind w:left="714" w:hanging="357"/>
              <w:jc w:val="both"/>
            </w:pPr>
            <w:r>
              <w:t xml:space="preserve">Partake in training &amp; attend </w:t>
            </w:r>
            <w:r w:rsidR="009172E6">
              <w:t xml:space="preserve">required </w:t>
            </w:r>
            <w:r>
              <w:t xml:space="preserve">supervision </w:t>
            </w:r>
            <w:r w:rsidR="009172E6">
              <w:t xml:space="preserve">as per the terms of the tender. </w:t>
            </w:r>
          </w:p>
          <w:p w:rsidR="00E4404D" w:rsidRPr="00DD434F" w:rsidRDefault="00E4404D" w:rsidP="00363513">
            <w:pPr>
              <w:pStyle w:val="ListParagraph"/>
              <w:spacing w:line="360" w:lineRule="auto"/>
              <w:ind w:left="714"/>
              <w:jc w:val="both"/>
            </w:pPr>
          </w:p>
        </w:tc>
      </w:tr>
      <w:tr w:rsidR="002D77FC" w:rsidTr="001B44A5">
        <w:trPr>
          <w:trHeight w:val="853"/>
        </w:trPr>
        <w:tc>
          <w:tcPr>
            <w:tcW w:w="2448" w:type="dxa"/>
            <w:tcBorders>
              <w:top w:val="single" w:sz="6" w:space="0" w:color="auto"/>
              <w:left w:val="single" w:sz="12" w:space="0" w:color="auto"/>
              <w:bottom w:val="single" w:sz="6" w:space="0" w:color="auto"/>
              <w:right w:val="single" w:sz="6" w:space="0" w:color="auto"/>
            </w:tcBorders>
          </w:tcPr>
          <w:p w:rsidR="008C55F7" w:rsidRDefault="008C55F7" w:rsidP="00F44880">
            <w:pPr>
              <w:jc w:val="both"/>
              <w:rPr>
                <w:b/>
                <w:lang w:val="en-IE"/>
              </w:rPr>
            </w:pPr>
          </w:p>
          <w:p w:rsidR="002D77FC" w:rsidRDefault="00363513" w:rsidP="00363513">
            <w:pPr>
              <w:jc w:val="both"/>
              <w:rPr>
                <w:b/>
                <w:lang w:val="en-IE"/>
              </w:rPr>
            </w:pPr>
            <w:r>
              <w:rPr>
                <w:b/>
                <w:lang w:val="en-IE"/>
              </w:rPr>
              <w:t xml:space="preserve">Delivery of the service </w:t>
            </w:r>
          </w:p>
        </w:tc>
        <w:tc>
          <w:tcPr>
            <w:tcW w:w="6592" w:type="dxa"/>
            <w:tcBorders>
              <w:top w:val="single" w:sz="6" w:space="0" w:color="auto"/>
              <w:left w:val="single" w:sz="6" w:space="0" w:color="auto"/>
              <w:bottom w:val="single" w:sz="6" w:space="0" w:color="auto"/>
              <w:right w:val="single" w:sz="12" w:space="0" w:color="auto"/>
            </w:tcBorders>
          </w:tcPr>
          <w:p w:rsidR="001B44A5" w:rsidRDefault="001B44A5" w:rsidP="00F44880">
            <w:pPr>
              <w:ind w:left="142" w:right="142"/>
              <w:jc w:val="both"/>
              <w:rPr>
                <w:lang w:val="en-IE"/>
              </w:rPr>
            </w:pPr>
          </w:p>
          <w:p w:rsidR="008C55F7" w:rsidRDefault="00147275" w:rsidP="001B44A5">
            <w:pPr>
              <w:ind w:left="142" w:right="142"/>
              <w:jc w:val="both"/>
              <w:rPr>
                <w:lang w:val="en-IE"/>
              </w:rPr>
            </w:pPr>
            <w:r>
              <w:rPr>
                <w:lang w:val="en-IE"/>
              </w:rPr>
              <w:t>The service will be delivered o</w:t>
            </w:r>
            <w:r w:rsidR="00363513">
              <w:rPr>
                <w:lang w:val="en-IE"/>
              </w:rPr>
              <w:t>ut of school hours, evenings, weekend</w:t>
            </w:r>
            <w:r w:rsidR="001B44A5">
              <w:rPr>
                <w:lang w:val="en-IE"/>
              </w:rPr>
              <w:t xml:space="preserve">s and </w:t>
            </w:r>
            <w:r w:rsidR="00363513">
              <w:rPr>
                <w:lang w:val="en-IE"/>
              </w:rPr>
              <w:t xml:space="preserve">school holidays. </w:t>
            </w:r>
          </w:p>
        </w:tc>
      </w:tr>
      <w:tr w:rsidR="008C55F7" w:rsidTr="00363513">
        <w:tc>
          <w:tcPr>
            <w:tcW w:w="2448" w:type="dxa"/>
            <w:tcBorders>
              <w:top w:val="single" w:sz="6" w:space="0" w:color="auto"/>
              <w:left w:val="single" w:sz="12" w:space="0" w:color="auto"/>
              <w:bottom w:val="single" w:sz="6" w:space="0" w:color="auto"/>
              <w:right w:val="single" w:sz="6" w:space="0" w:color="auto"/>
            </w:tcBorders>
          </w:tcPr>
          <w:p w:rsidR="008C55F7" w:rsidRDefault="008C55F7" w:rsidP="00F44880">
            <w:pPr>
              <w:jc w:val="both"/>
              <w:rPr>
                <w:b/>
                <w:lang w:val="en-IE"/>
              </w:rPr>
            </w:pPr>
          </w:p>
          <w:p w:rsidR="008C55F7" w:rsidRDefault="008C55F7" w:rsidP="00F44880">
            <w:pPr>
              <w:jc w:val="both"/>
              <w:rPr>
                <w:b/>
                <w:lang w:val="en-IE"/>
              </w:rPr>
            </w:pPr>
            <w:r>
              <w:rPr>
                <w:b/>
                <w:lang w:val="en-IE"/>
              </w:rPr>
              <w:t>Please note:</w:t>
            </w:r>
          </w:p>
        </w:tc>
        <w:tc>
          <w:tcPr>
            <w:tcW w:w="6592" w:type="dxa"/>
            <w:tcBorders>
              <w:top w:val="single" w:sz="6" w:space="0" w:color="auto"/>
              <w:left w:val="single" w:sz="6" w:space="0" w:color="auto"/>
              <w:bottom w:val="single" w:sz="6" w:space="0" w:color="auto"/>
              <w:right w:val="single" w:sz="12" w:space="0" w:color="auto"/>
            </w:tcBorders>
          </w:tcPr>
          <w:p w:rsidR="008C55F7" w:rsidRDefault="008C55F7" w:rsidP="00F44880">
            <w:pPr>
              <w:spacing w:line="360" w:lineRule="auto"/>
              <w:ind w:left="142" w:right="142"/>
              <w:jc w:val="both"/>
              <w:rPr>
                <w:lang w:val="en-IE"/>
              </w:rPr>
            </w:pPr>
          </w:p>
          <w:p w:rsidR="008C55F7" w:rsidRDefault="0047297F" w:rsidP="00363513">
            <w:pPr>
              <w:spacing w:line="360" w:lineRule="auto"/>
              <w:ind w:left="142" w:right="142"/>
              <w:jc w:val="both"/>
              <w:rPr>
                <w:lang w:val="en-IE"/>
              </w:rPr>
            </w:pPr>
            <w:r>
              <w:t xml:space="preserve">The </w:t>
            </w:r>
            <w:r w:rsidR="009172E6">
              <w:t>tender</w:t>
            </w:r>
            <w:r>
              <w:t xml:space="preserve"> as outlined above </w:t>
            </w:r>
            <w:r w:rsidR="00363513">
              <w:t>is</w:t>
            </w:r>
            <w:r>
              <w:t xml:space="preserve"> indicative of the main activities to be undertaken. They are not intended to be exhaustive.  However they may be subject to reasonable change in line with the future direction and changing needs of the organisation.</w:t>
            </w:r>
            <w:r w:rsidR="00FB3D0C">
              <w:t xml:space="preserve"> </w:t>
            </w:r>
          </w:p>
        </w:tc>
      </w:tr>
    </w:tbl>
    <w:p w:rsidR="00CE4175" w:rsidRDefault="00CE4175" w:rsidP="00F44880">
      <w:pPr>
        <w:jc w:val="both"/>
      </w:pPr>
    </w:p>
    <w:sectPr w:rsidR="00CE4175">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119"/>
    <w:multiLevelType w:val="hybridMultilevel"/>
    <w:tmpl w:val="77E03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BF2F41"/>
    <w:multiLevelType w:val="hybridMultilevel"/>
    <w:tmpl w:val="2160D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CF7590"/>
    <w:multiLevelType w:val="hybridMultilevel"/>
    <w:tmpl w:val="AE0A3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D41F84"/>
    <w:multiLevelType w:val="hybridMultilevel"/>
    <w:tmpl w:val="84F41CDE"/>
    <w:lvl w:ilvl="0" w:tplc="E0547E6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0B16C">
      <w:start w:val="1"/>
      <w:numFmt w:val="bullet"/>
      <w:lvlText w:val="o"/>
      <w:lvlJc w:val="left"/>
      <w:pPr>
        <w:ind w:left="1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0C552">
      <w:start w:val="1"/>
      <w:numFmt w:val="bullet"/>
      <w:lvlText w:val="▪"/>
      <w:lvlJc w:val="left"/>
      <w:pPr>
        <w:ind w:left="2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AB990">
      <w:start w:val="1"/>
      <w:numFmt w:val="bullet"/>
      <w:lvlText w:val="•"/>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CCFD96">
      <w:start w:val="1"/>
      <w:numFmt w:val="bullet"/>
      <w:lvlText w:val="o"/>
      <w:lvlJc w:val="left"/>
      <w:pPr>
        <w:ind w:left="3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F4510A">
      <w:start w:val="1"/>
      <w:numFmt w:val="bullet"/>
      <w:lvlText w:val="▪"/>
      <w:lvlJc w:val="left"/>
      <w:pPr>
        <w:ind w:left="4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AED84">
      <w:start w:val="1"/>
      <w:numFmt w:val="bullet"/>
      <w:lvlText w:val="•"/>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AC0A8">
      <w:start w:val="1"/>
      <w:numFmt w:val="bullet"/>
      <w:lvlText w:val="o"/>
      <w:lvlJc w:val="left"/>
      <w:pPr>
        <w:ind w:left="5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E98F2">
      <w:start w:val="1"/>
      <w:numFmt w:val="bullet"/>
      <w:lvlText w:val="▪"/>
      <w:lvlJc w:val="left"/>
      <w:pPr>
        <w:ind w:left="6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D61FB5"/>
    <w:multiLevelType w:val="hybridMultilevel"/>
    <w:tmpl w:val="1B54B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ED132D"/>
    <w:multiLevelType w:val="hybridMultilevel"/>
    <w:tmpl w:val="CB3E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37C41"/>
    <w:multiLevelType w:val="hybridMultilevel"/>
    <w:tmpl w:val="608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91C8F"/>
    <w:multiLevelType w:val="hybridMultilevel"/>
    <w:tmpl w:val="9F865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6952C6"/>
    <w:multiLevelType w:val="hybridMultilevel"/>
    <w:tmpl w:val="608A1F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3973B70"/>
    <w:multiLevelType w:val="hybridMultilevel"/>
    <w:tmpl w:val="E330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2C7FF0"/>
    <w:multiLevelType w:val="hybridMultilevel"/>
    <w:tmpl w:val="D8C0DB12"/>
    <w:lvl w:ilvl="0" w:tplc="0809000B">
      <w:start w:val="1"/>
      <w:numFmt w:val="bullet"/>
      <w:lvlText w:val=""/>
      <w:lvlJc w:val="left"/>
      <w:pPr>
        <w:tabs>
          <w:tab w:val="num" w:pos="360"/>
        </w:tabs>
        <w:ind w:left="360" w:hanging="360"/>
      </w:pPr>
      <w:rPr>
        <w:rFonts w:ascii="Wingdings" w:hAnsi="Wingdings" w:hint="default"/>
        <w:b/>
        <w:i/>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5"/>
  </w:num>
  <w:num w:numId="5">
    <w:abstractNumId w:val="1"/>
  </w:num>
  <w:num w:numId="6">
    <w:abstractNumId w:val="9"/>
  </w:num>
  <w:num w:numId="7">
    <w:abstractNumId w:val="7"/>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FC"/>
    <w:rsid w:val="00025843"/>
    <w:rsid w:val="00084371"/>
    <w:rsid w:val="000A0625"/>
    <w:rsid w:val="000C5AA8"/>
    <w:rsid w:val="00113623"/>
    <w:rsid w:val="00120B0C"/>
    <w:rsid w:val="00126C65"/>
    <w:rsid w:val="00147275"/>
    <w:rsid w:val="001B44A5"/>
    <w:rsid w:val="001D5234"/>
    <w:rsid w:val="001E706B"/>
    <w:rsid w:val="002177EB"/>
    <w:rsid w:val="002554A6"/>
    <w:rsid w:val="0029784C"/>
    <w:rsid w:val="002B5D92"/>
    <w:rsid w:val="002C79A0"/>
    <w:rsid w:val="002D77FC"/>
    <w:rsid w:val="00303A5F"/>
    <w:rsid w:val="00360860"/>
    <w:rsid w:val="00363513"/>
    <w:rsid w:val="00383773"/>
    <w:rsid w:val="003C3039"/>
    <w:rsid w:val="003C6D3F"/>
    <w:rsid w:val="003D4A2E"/>
    <w:rsid w:val="00430529"/>
    <w:rsid w:val="0043775E"/>
    <w:rsid w:val="00471D6A"/>
    <w:rsid w:val="0047297F"/>
    <w:rsid w:val="004B327D"/>
    <w:rsid w:val="005B0C26"/>
    <w:rsid w:val="006116EE"/>
    <w:rsid w:val="00627CD1"/>
    <w:rsid w:val="006615B4"/>
    <w:rsid w:val="006802F7"/>
    <w:rsid w:val="00685C48"/>
    <w:rsid w:val="00691977"/>
    <w:rsid w:val="006C6A9F"/>
    <w:rsid w:val="0070161D"/>
    <w:rsid w:val="00775936"/>
    <w:rsid w:val="007C1CC3"/>
    <w:rsid w:val="007C7FDB"/>
    <w:rsid w:val="0084278D"/>
    <w:rsid w:val="00861489"/>
    <w:rsid w:val="00866B2D"/>
    <w:rsid w:val="0088731A"/>
    <w:rsid w:val="008A0FB2"/>
    <w:rsid w:val="008B4147"/>
    <w:rsid w:val="008C55F7"/>
    <w:rsid w:val="008F4B7F"/>
    <w:rsid w:val="009172E6"/>
    <w:rsid w:val="00924CC4"/>
    <w:rsid w:val="009457A6"/>
    <w:rsid w:val="00954B26"/>
    <w:rsid w:val="0099617B"/>
    <w:rsid w:val="009D199B"/>
    <w:rsid w:val="009E30DF"/>
    <w:rsid w:val="00A049E0"/>
    <w:rsid w:val="00A81995"/>
    <w:rsid w:val="00AB28CF"/>
    <w:rsid w:val="00B415E2"/>
    <w:rsid w:val="00B56617"/>
    <w:rsid w:val="00B95929"/>
    <w:rsid w:val="00BA5702"/>
    <w:rsid w:val="00BC2CF8"/>
    <w:rsid w:val="00C114D7"/>
    <w:rsid w:val="00C2207C"/>
    <w:rsid w:val="00C30AC5"/>
    <w:rsid w:val="00C85DF2"/>
    <w:rsid w:val="00CE4175"/>
    <w:rsid w:val="00D16FBF"/>
    <w:rsid w:val="00D34DD8"/>
    <w:rsid w:val="00D37F72"/>
    <w:rsid w:val="00D473FD"/>
    <w:rsid w:val="00D76688"/>
    <w:rsid w:val="00D8561A"/>
    <w:rsid w:val="00DD2BB4"/>
    <w:rsid w:val="00DD434F"/>
    <w:rsid w:val="00DE6194"/>
    <w:rsid w:val="00DE7E45"/>
    <w:rsid w:val="00E4404D"/>
    <w:rsid w:val="00E80171"/>
    <w:rsid w:val="00E91902"/>
    <w:rsid w:val="00EE5BC1"/>
    <w:rsid w:val="00EF4DE3"/>
    <w:rsid w:val="00F14281"/>
    <w:rsid w:val="00F40078"/>
    <w:rsid w:val="00F44880"/>
    <w:rsid w:val="00F57A27"/>
    <w:rsid w:val="00F93992"/>
    <w:rsid w:val="00F9787A"/>
    <w:rsid w:val="00FB3D0C"/>
    <w:rsid w:val="00FB659B"/>
    <w:rsid w:val="00FF5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E9905-D47D-4080-957E-D183AB2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FC"/>
    <w:rPr>
      <w:rFonts w:eastAsia="Times New Roman" w:cs="Arial"/>
      <w:sz w:val="22"/>
      <w:szCs w:val="24"/>
      <w:lang w:val="en-GB" w:eastAsia="en-US"/>
    </w:rPr>
  </w:style>
  <w:style w:type="paragraph" w:styleId="Heading1">
    <w:name w:val="heading 1"/>
    <w:basedOn w:val="Normal"/>
    <w:next w:val="Normal"/>
    <w:link w:val="Heading1Char"/>
    <w:qFormat/>
    <w:rsid w:val="002D77FC"/>
    <w:pPr>
      <w:keepNext/>
      <w:jc w:val="center"/>
      <w:outlineLvl w:val="0"/>
    </w:pPr>
    <w:rPr>
      <w:rFonts w:eastAsia="Arial Unicode MS"/>
      <w:b/>
      <w:bCs/>
      <w:lang w:val="en-IE"/>
    </w:rPr>
  </w:style>
  <w:style w:type="paragraph" w:styleId="Heading2">
    <w:name w:val="heading 2"/>
    <w:basedOn w:val="Normal"/>
    <w:next w:val="Normal"/>
    <w:link w:val="Heading2Char"/>
    <w:qFormat/>
    <w:rsid w:val="002D77FC"/>
    <w:pPr>
      <w:keepNext/>
      <w:jc w:val="center"/>
      <w:outlineLvl w:val="1"/>
    </w:pPr>
    <w:rPr>
      <w:rFonts w:eastAsia="Arial Unicode MS"/>
      <w:b/>
      <w:bC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7FC"/>
    <w:rPr>
      <w:rFonts w:eastAsia="Arial Unicode MS" w:cs="Arial"/>
      <w:b/>
      <w:lang w:val="en-IE"/>
    </w:rPr>
  </w:style>
  <w:style w:type="character" w:customStyle="1" w:styleId="Heading2Char">
    <w:name w:val="Heading 2 Char"/>
    <w:link w:val="Heading2"/>
    <w:rsid w:val="002D77FC"/>
    <w:rPr>
      <w:rFonts w:eastAsia="Arial Unicode MS" w:cs="Arial"/>
      <w:b/>
      <w:sz w:val="28"/>
      <w:u w:val="single"/>
      <w:lang w:val="en-IE"/>
    </w:rPr>
  </w:style>
  <w:style w:type="paragraph" w:styleId="BlockText">
    <w:name w:val="Block Text"/>
    <w:basedOn w:val="Normal"/>
    <w:semiHidden/>
    <w:rsid w:val="002D77FC"/>
    <w:pPr>
      <w:ind w:left="142" w:right="142"/>
      <w:jc w:val="both"/>
    </w:pPr>
    <w:rPr>
      <w:lang w:val="en-IE"/>
    </w:rPr>
  </w:style>
  <w:style w:type="paragraph" w:styleId="BalloonText">
    <w:name w:val="Balloon Text"/>
    <w:basedOn w:val="Normal"/>
    <w:link w:val="BalloonTextChar"/>
    <w:uiPriority w:val="99"/>
    <w:semiHidden/>
    <w:unhideWhenUsed/>
    <w:rsid w:val="002D77FC"/>
    <w:rPr>
      <w:rFonts w:ascii="Tahoma" w:hAnsi="Tahoma" w:cs="Tahoma"/>
      <w:sz w:val="16"/>
      <w:szCs w:val="16"/>
    </w:rPr>
  </w:style>
  <w:style w:type="character" w:customStyle="1" w:styleId="BalloonTextChar">
    <w:name w:val="Balloon Text Char"/>
    <w:link w:val="BalloonText"/>
    <w:uiPriority w:val="99"/>
    <w:semiHidden/>
    <w:rsid w:val="002D77FC"/>
    <w:rPr>
      <w:rFonts w:ascii="Tahoma" w:eastAsia="Times New Roman" w:hAnsi="Tahoma" w:cs="Tahoma"/>
      <w:bCs w:val="0"/>
      <w:sz w:val="16"/>
      <w:szCs w:val="16"/>
      <w:lang w:val="en-GB"/>
    </w:rPr>
  </w:style>
  <w:style w:type="paragraph" w:styleId="ListParagraph">
    <w:name w:val="List Paragraph"/>
    <w:basedOn w:val="Normal"/>
    <w:uiPriority w:val="34"/>
    <w:qFormat/>
    <w:rsid w:val="002D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cp:lastModifiedBy>Sinead Noonan</cp:lastModifiedBy>
  <cp:revision>3</cp:revision>
  <cp:lastPrinted>2011-10-28T10:15:00Z</cp:lastPrinted>
  <dcterms:created xsi:type="dcterms:W3CDTF">2020-02-03T12:05:00Z</dcterms:created>
  <dcterms:modified xsi:type="dcterms:W3CDTF">2020-02-13T15:23:00Z</dcterms:modified>
</cp:coreProperties>
</file>